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03B0" w14:textId="075A224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proofErr w:type="spellStart"/>
      <w:r w:rsidRPr="00ED3697">
        <w:rPr>
          <w:rFonts w:ascii="Arial" w:hAnsi="Arial" w:cs="Arial"/>
          <w:color w:val="242424"/>
          <w:bdr w:val="none" w:sz="0" w:space="0" w:color="auto" w:frame="1"/>
          <w:lang w:val="de-DE"/>
        </w:rPr>
        <w:t>K</w:t>
      </w:r>
      <w:r w:rsidRPr="00ED3697">
        <w:rPr>
          <w:rFonts w:ascii="Arial" w:hAnsi="Arial" w:cs="Arial"/>
          <w:color w:val="242424"/>
          <w:bdr w:val="none" w:sz="0" w:space="0" w:color="auto" w:frame="1"/>
          <w:lang w:val="de-DE"/>
        </w:rPr>
        <w:t>ære</w:t>
      </w:r>
      <w:proofErr w:type="spellEnd"/>
      <w:r w:rsidRPr="00ED3697">
        <w:rPr>
          <w:rFonts w:ascii="Arial" w:hAnsi="Arial" w:cs="Arial"/>
          <w:color w:val="242424"/>
          <w:bdr w:val="none" w:sz="0" w:space="0" w:color="auto" w:frame="1"/>
          <w:lang w:val="de-DE"/>
        </w:rPr>
        <w:t xml:space="preserve"> </w:t>
      </w:r>
      <w:proofErr w:type="spellStart"/>
      <w:r w:rsidRPr="00ED3697">
        <w:rPr>
          <w:rFonts w:ascii="Arial" w:hAnsi="Arial" w:cs="Arial"/>
          <w:color w:val="242424"/>
          <w:bdr w:val="none" w:sz="0" w:space="0" w:color="auto" w:frame="1"/>
          <w:lang w:val="de-DE"/>
        </w:rPr>
        <w:t>dommerformænd</w:t>
      </w:r>
      <w:proofErr w:type="spellEnd"/>
      <w:r w:rsidRPr="00ED3697">
        <w:rPr>
          <w:rFonts w:ascii="Arial" w:hAnsi="Arial" w:cs="Arial"/>
          <w:color w:val="242424"/>
          <w:bdr w:val="none" w:sz="0" w:space="0" w:color="auto" w:frame="1"/>
          <w:lang w:val="de-DE"/>
        </w:rPr>
        <w:t xml:space="preserve"> </w:t>
      </w:r>
      <w:proofErr w:type="spellStart"/>
      <w:r w:rsidRPr="00ED3697">
        <w:rPr>
          <w:rFonts w:ascii="Arial" w:hAnsi="Arial" w:cs="Arial"/>
          <w:color w:val="242424"/>
          <w:bdr w:val="none" w:sz="0" w:space="0" w:color="auto" w:frame="1"/>
          <w:lang w:val="de-DE"/>
        </w:rPr>
        <w:t>m.fl</w:t>
      </w:r>
      <w:proofErr w:type="spellEnd"/>
      <w:r w:rsidRPr="00ED3697">
        <w:rPr>
          <w:rFonts w:ascii="Arial" w:hAnsi="Arial" w:cs="Arial"/>
          <w:color w:val="242424"/>
          <w:bdr w:val="none" w:sz="0" w:space="0" w:color="auto" w:frame="1"/>
          <w:lang w:val="de-DE"/>
        </w:rPr>
        <w:t>.</w:t>
      </w:r>
    </w:p>
    <w:p w14:paraId="5C3E72DE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242424"/>
          <w:bdr w:val="none" w:sz="0" w:space="0" w:color="auto" w:frame="1"/>
          <w:lang w:val="de-DE"/>
        </w:rPr>
        <w:t> </w:t>
      </w:r>
    </w:p>
    <w:p w14:paraId="62C99945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242424"/>
          <w:bdr w:val="none" w:sz="0" w:space="0" w:color="auto" w:frame="1"/>
        </w:rPr>
        <w:t xml:space="preserve">På formandsmødet på Teams blev der af flere med henvisning til DBU’s egen hjemmeside gjort opmærksom på, at DBU opkræver 269,10 </w:t>
      </w:r>
      <w:proofErr w:type="spellStart"/>
      <w:r w:rsidRPr="00ED3697">
        <w:rPr>
          <w:rFonts w:ascii="Arial" w:hAnsi="Arial" w:cs="Arial"/>
          <w:color w:val="242424"/>
          <w:bdr w:val="none" w:sz="0" w:space="0" w:color="auto" w:frame="1"/>
        </w:rPr>
        <w:t>dkr</w:t>
      </w:r>
      <w:proofErr w:type="spellEnd"/>
      <w:r w:rsidRPr="00ED3697">
        <w:rPr>
          <w:rFonts w:ascii="Arial" w:hAnsi="Arial" w:cs="Arial"/>
          <w:color w:val="242424"/>
          <w:bdr w:val="none" w:sz="0" w:space="0" w:color="auto" w:frame="1"/>
        </w:rPr>
        <w:t xml:space="preserve"> for en kamp, mens vi med henvisning til skatteloftet kun godtgøres med 250 kroner.</w:t>
      </w:r>
    </w:p>
    <w:p w14:paraId="73B4A786" w14:textId="7F6EE248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242424"/>
          <w:bdr w:val="none" w:sz="0" w:space="0" w:color="auto" w:frame="1"/>
        </w:rPr>
        <w:t>Jeg har derfor undersøgt det nøje endnu engang. Hos DBU og i DIF.</w:t>
      </w:r>
    </w:p>
    <w:p w14:paraId="2FA65A5A" w14:textId="5BEBEAE1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242424"/>
          <w:bdr w:val="none" w:sz="0" w:space="0" w:color="auto" w:frame="1"/>
        </w:rPr>
        <w:t> Man må medgive, at formuleringen på DBU-siden er uklar, men det er heldigvis sådan, at der ikke opkræves mere end det, som skatteloftet foreskriver.</w:t>
      </w:r>
    </w:p>
    <w:p w14:paraId="0F01D2E7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Fremgangsmåden er aftalt i udmøntningsnotatet til 21-punkt planen for netop at tage højde for den situation, vi er i.</w:t>
      </w:r>
    </w:p>
    <w:p w14:paraId="5404903A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4E1DF6A2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Bilag 1 (</w:t>
      </w:r>
      <w:proofErr w:type="spellStart"/>
      <w:r w:rsidRPr="00ED3697">
        <w:rPr>
          <w:rFonts w:ascii="Arial" w:hAnsi="Arial" w:cs="Arial"/>
          <w:color w:val="000000"/>
          <w:bdr w:val="none" w:sz="0" w:space="0" w:color="auto" w:frame="1"/>
        </w:rPr>
        <w:t>appendix</w:t>
      </w:r>
      <w:proofErr w:type="spellEnd"/>
      <w:r w:rsidRPr="00ED3697">
        <w:rPr>
          <w:rFonts w:ascii="Arial" w:hAnsi="Arial" w:cs="Arial"/>
          <w:color w:val="000000"/>
          <w:bdr w:val="none" w:sz="0" w:space="0" w:color="auto" w:frame="1"/>
        </w:rPr>
        <w:t xml:space="preserve"> nedenfor) i udmøntningsnotat beskriver indeksregulering af omkostningsgodtgørelsen.</w:t>
      </w:r>
    </w:p>
    <w:p w14:paraId="6E8B7E77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787F7E5C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Eksempel fra år 4 i skemaet med stilstand illustrerer, hvor vi er nu.</w:t>
      </w:r>
    </w:p>
    <w:p w14:paraId="4E1F7540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27E1EC65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Vi har nået loft på kr. 250 for en 11:11 kamp. Jf. aftalen slår stigninger ikke igennem før SKAT hæver skatteloftet. Når det sker, vil omkostningsgodtgørelsen være kr. 269,10 (2024)</w:t>
      </w:r>
    </w:p>
    <w:p w14:paraId="2136B7DC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4B382C3E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  <w:shd w:val="clear" w:color="auto" w:fill="FFFF00"/>
        </w:rPr>
        <w:t>Udviklingen i indekset har været positiv, og der tillægges 1% til satsen for omkostningsgodtgørelse, men stigningen slår ikke igennem før SKAT hæver skatteloftet. Sammenlagt skal der nu reguleres for fire år, når SKAT hæver skatteloftet</w:t>
      </w:r>
      <w:r w:rsidRPr="00ED3697">
        <w:rPr>
          <w:rFonts w:ascii="Arial" w:hAnsi="Arial" w:cs="Arial"/>
          <w:color w:val="000000"/>
          <w:bdr w:val="none" w:sz="0" w:space="0" w:color="auto" w:frame="1"/>
        </w:rPr>
        <w:t> .</w:t>
      </w:r>
    </w:p>
    <w:p w14:paraId="45061EA4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16D2446F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Vi kæmper i DFU stadig for en godtgørelse på 300 dkr. pr kamp. Over for politikere og skatteråd.</w:t>
      </w:r>
    </w:p>
    <w:p w14:paraId="1B981B69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356050C1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Tak for at rejse spørgsmålet endnu engang – det er vigtigt, at vi får fulgt op på ting, når der er tvivl.</w:t>
      </w:r>
    </w:p>
    <w:p w14:paraId="4B06CC23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5ED23441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412B7DC6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Mange hilsener</w:t>
      </w:r>
    </w:p>
    <w:p w14:paraId="3C84FECE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Jens Rohde</w:t>
      </w:r>
    </w:p>
    <w:p w14:paraId="552FF190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Formand for DFU</w:t>
      </w:r>
    </w:p>
    <w:p w14:paraId="2B52FB27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2979D8D7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Jeg har vedhæftet link og bilag om takster nedenstående.</w:t>
      </w:r>
    </w:p>
    <w:p w14:paraId="4280897F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58279B5C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Nedenstående linker til nyhed om regulering af omkostningsgodtgørelsen for 2024</w:t>
      </w:r>
    </w:p>
    <w:p w14:paraId="02800A8B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05211C1D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hyperlink r:id="rId4" w:tgtFrame="_blank" w:history="1">
        <w:r w:rsidRPr="00ED3697">
          <w:rPr>
            <w:rStyle w:val="Hyperlink"/>
            <w:rFonts w:ascii="Arial" w:hAnsi="Arial" w:cs="Arial"/>
            <w:color w:val="0563C1"/>
            <w:bdr w:val="none" w:sz="0" w:space="0" w:color="auto" w:frame="1"/>
          </w:rPr>
          <w:t>Omkostningsgodtgørelse for dommere, udviklere og vejledere i 2024 (dbusjaelland.dk)</w:t>
        </w:r>
      </w:hyperlink>
    </w:p>
    <w:p w14:paraId="62403F0E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55BFE799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Hvis vi ikke havde nået skatteloftet, ville beløbet for en 11:11 kamp være kr. 269,10 i 2024. Loftet er kr. 250 for en 11:11 kamp, og det er det beløb, som DBUs Lokalunioner opkræver klubberne + et dommerpåsætningsgebyr som er betaling til lokalunionen for at udføre påsætningen for klubberne. Påsætningsgebyret er forskelligt fra Lokalunion til Lokalunion.</w:t>
      </w:r>
    </w:p>
    <w:p w14:paraId="3E24BC3D" w14:textId="77777777" w:rsidR="00ED3697" w:rsidRPr="00ED3697" w:rsidRDefault="00ED3697" w:rsidP="00ED369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D36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4E82ED1A" w14:textId="77777777" w:rsidR="00ED3697" w:rsidRPr="00ED3697" w:rsidRDefault="00ED3697" w:rsidP="00ED369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proofErr w:type="spellStart"/>
      <w:r w:rsidRPr="00ED369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Appendix</w:t>
      </w:r>
      <w:proofErr w:type="spellEnd"/>
    </w:p>
    <w:p w14:paraId="0FCEDC69" w14:textId="77777777" w:rsidR="00ED3697" w:rsidRPr="00ED3697" w:rsidRDefault="00ED3697" w:rsidP="00ED369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D369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Bilag 1</w:t>
      </w:r>
      <w:r w:rsidRPr="00ED3697">
        <w:rPr>
          <w:rFonts w:ascii="Arial" w:eastAsia="Times New Roman" w:hAnsi="Arial" w:cs="Arial"/>
          <w:b/>
          <w:bCs/>
          <w:color w:val="365F91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: </w:t>
      </w:r>
    </w:p>
    <w:p w14:paraId="0DEA5315" w14:textId="77777777" w:rsidR="00ED3697" w:rsidRPr="00ED3697" w:rsidRDefault="00ED3697" w:rsidP="00ED3697">
      <w:pPr>
        <w:spacing w:after="0" w:line="240" w:lineRule="auto"/>
        <w:ind w:left="1335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lastRenderedPageBreak/>
        <w:t>Satsen for omkostningsgodtgørelsen vil i 2014 være 218 kr. jf. 21-punkts erklæringen. Fra 2015 indeks reguleres denne jf. 21-punkts erklæringen. Hvis denne regulering på et tidspunkt bevirker, at det gældende skatteloft nås, står satsen stille, indtil SKAT eventuelt måtte i ændre loftet. Når SKAT ændrer loftet, indeksreguleres satsen for omkostningsgodtgørelsen pr år, der har været stilstand. Ved negativ udvikling i indekset sættes satsen for omkostningsgodtgørelse ikke ned, men reguleringssatsen for det pågældende år sættes til 0. Hvis den negative udvikling i indekset opstår i en periode, hvor skatteloftet har bevirket, at satsen for omkostningsgodtgørelse står stille, beregnes satsen for omkostningsgodtgørelse ikke til at være negativ for det pågældende år, men sættes til 0. Skulle udviklingen i indekset være positiv i år 2 efter at have været negativ i år 1. Slår hele den positive udvikling igennem i beregningen for år 2, udviklingen i år 1 modregnes således ikke.   </w:t>
      </w:r>
    </w:p>
    <w:p w14:paraId="7182032D" w14:textId="77777777" w:rsidR="00ED3697" w:rsidRPr="00ED3697" w:rsidRDefault="00ED3697" w:rsidP="00ED3697">
      <w:pPr>
        <w:spacing w:after="0" w:line="240" w:lineRule="auto"/>
        <w:ind w:left="133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  </w:t>
      </w:r>
    </w:p>
    <w:p w14:paraId="23C0B82E" w14:textId="77777777" w:rsidR="00ED3697" w:rsidRPr="00ED3697" w:rsidRDefault="00ED3697" w:rsidP="00ED3697">
      <w:pPr>
        <w:spacing w:after="0" w:line="240" w:lineRule="auto"/>
        <w:ind w:left="132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Ovenstående kan illustreres med følgende fiktive model for år </w:t>
      </w: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da-DK"/>
          <w14:ligatures w14:val="none"/>
        </w:rPr>
        <w:t>uden</w:t>
      </w: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 stilstand på grund af skatteloftet:  </w:t>
      </w:r>
    </w:p>
    <w:p w14:paraId="336686AB" w14:textId="77777777" w:rsidR="00ED3697" w:rsidRPr="00ED3697" w:rsidRDefault="00ED3697" w:rsidP="00ED3697">
      <w:pPr>
        <w:spacing w:after="15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  </w:t>
      </w:r>
    </w:p>
    <w:tbl>
      <w:tblPr>
        <w:tblW w:w="0" w:type="dxa"/>
        <w:tblInd w:w="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1934"/>
        <w:gridCol w:w="1913"/>
        <w:gridCol w:w="1923"/>
        <w:gridCol w:w="875"/>
      </w:tblGrid>
      <w:tr w:rsidR="00ED3697" w:rsidRPr="00ED3697" w14:paraId="34887B79" w14:textId="77777777" w:rsidTr="00ED3697">
        <w:trPr>
          <w:trHeight w:val="82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90C4F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Udvikling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                           i </w:t>
            </w: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indekset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  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6A29C3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År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1  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D0E971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År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2  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987875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År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3  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51E343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År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4  </w:t>
            </w:r>
          </w:p>
        </w:tc>
      </w:tr>
      <w:tr w:rsidR="00ED3697" w:rsidRPr="00ED3697" w14:paraId="560ED24F" w14:textId="77777777" w:rsidTr="00ED3697">
        <w:trPr>
          <w:trHeight w:val="51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5ADA4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Udvikling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i % 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1360DE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+ 1%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77FAE4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+2 % 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E0D94A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0  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FCCB45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+1%  </w:t>
            </w:r>
          </w:p>
        </w:tc>
      </w:tr>
      <w:tr w:rsidR="00ED3697" w:rsidRPr="00ED3697" w14:paraId="50B878E4" w14:textId="77777777" w:rsidTr="00ED3697">
        <w:trPr>
          <w:trHeight w:val="2175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6FC0A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Kommentar 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1FCF38" w14:textId="77777777" w:rsidR="00ED3697" w:rsidRPr="00ED3697" w:rsidRDefault="00ED3697" w:rsidP="00ED3697">
            <w:pPr>
              <w:spacing w:after="0" w:line="252" w:lineRule="atLeast"/>
              <w:ind w:right="3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Udviklingen i indekset har været positiv, og der tillægges 1% til satsen for omkostningsgodtgørelse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5D6B0A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Udviklingen i indekset har været positiv, og der tillægges 2% til satsen for omkostningsgodtgørelse 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E03459" w14:textId="77777777" w:rsidR="00ED3697" w:rsidRPr="00ED3697" w:rsidRDefault="00ED3697" w:rsidP="00ED3697">
            <w:pPr>
              <w:spacing w:after="0" w:line="252" w:lineRule="atLeast"/>
              <w:ind w:right="1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Udviklingen i indekset har været 0 eller negativ, og reguleringen sættes derfor til 0 i satsen for omkostningsgodtgørelse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4532BE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Udviklingen i indekset har været positiv, og satsen udregnes efter beløbet i år 3 og reguleres med 1%  </w:t>
            </w:r>
          </w:p>
        </w:tc>
      </w:tr>
    </w:tbl>
    <w:p w14:paraId="5002A2D0" w14:textId="77777777" w:rsidR="00ED3697" w:rsidRPr="00ED3697" w:rsidRDefault="00ED3697" w:rsidP="00ED3697">
      <w:pPr>
        <w:spacing w:after="0" w:line="240" w:lineRule="auto"/>
        <w:ind w:left="133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  </w:t>
      </w:r>
    </w:p>
    <w:p w14:paraId="102CD331" w14:textId="77777777" w:rsidR="00ED3697" w:rsidRPr="00ED3697" w:rsidRDefault="00ED3697" w:rsidP="00ED3697">
      <w:pPr>
        <w:spacing w:after="0" w:line="240" w:lineRule="auto"/>
        <w:ind w:left="132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Ovenstående kan illustreres med følgende fiktive model for år </w:t>
      </w: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da-DK"/>
          <w14:ligatures w14:val="none"/>
        </w:rPr>
        <w:t>med</w:t>
      </w: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 stilstand på grund af skatteloftet:  </w:t>
      </w:r>
    </w:p>
    <w:p w14:paraId="22AEB92C" w14:textId="77777777" w:rsidR="00ED3697" w:rsidRPr="00ED3697" w:rsidRDefault="00ED3697" w:rsidP="00ED369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                               </w:t>
      </w:r>
    </w:p>
    <w:p w14:paraId="24029392" w14:textId="77777777" w:rsidR="00ED3697" w:rsidRPr="00ED3697" w:rsidRDefault="00ED3697" w:rsidP="00ED369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 </w:t>
      </w:r>
    </w:p>
    <w:p w14:paraId="11E3FF90" w14:textId="77777777" w:rsidR="00ED3697" w:rsidRPr="00ED3697" w:rsidRDefault="00ED3697" w:rsidP="00ED369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 </w:t>
      </w:r>
    </w:p>
    <w:p w14:paraId="72D001A3" w14:textId="77777777" w:rsidR="00ED3697" w:rsidRPr="00ED3697" w:rsidRDefault="00ED3697" w:rsidP="00ED3697">
      <w:pPr>
        <w:spacing w:after="150" w:line="240" w:lineRule="auto"/>
        <w:ind w:left="133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893"/>
        <w:gridCol w:w="1902"/>
        <w:gridCol w:w="1902"/>
        <w:gridCol w:w="1902"/>
      </w:tblGrid>
      <w:tr w:rsidR="00ED3697" w:rsidRPr="00ED3697" w14:paraId="4AC0901A" w14:textId="77777777" w:rsidTr="00ED3697">
        <w:trPr>
          <w:trHeight w:val="82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BD19D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lastRenderedPageBreak/>
              <w:t>Udvikling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                           i </w:t>
            </w: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indekset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  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053033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År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1  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170F42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År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2  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B14533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År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3  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B8707E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År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4  </w:t>
            </w:r>
          </w:p>
        </w:tc>
      </w:tr>
      <w:tr w:rsidR="00ED3697" w:rsidRPr="00ED3697" w14:paraId="09E42B9D" w14:textId="77777777" w:rsidTr="00ED3697">
        <w:trPr>
          <w:trHeight w:val="51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518E0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Udvikling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i %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7824A3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+1% 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226432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+2% 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6AA9FB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0  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07D787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+1  </w:t>
            </w:r>
          </w:p>
        </w:tc>
      </w:tr>
      <w:tr w:rsidR="00ED3697" w:rsidRPr="00ED3697" w14:paraId="45D66715" w14:textId="77777777" w:rsidTr="00ED3697">
        <w:trPr>
          <w:trHeight w:val="41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9EA26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Kommentar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486B8E" w14:textId="77777777" w:rsidR="00ED3697" w:rsidRPr="00ED3697" w:rsidRDefault="00ED3697" w:rsidP="00ED3697">
            <w:pPr>
              <w:spacing w:after="0" w:line="252" w:lineRule="atLeast"/>
              <w:ind w:right="3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Udviklingen i indekset har været positiv, og der tillægges 1% til satsen for omkostningsgodtgørelse, men stigningen slår ikke igennem før SKAT hæver skatteloftet 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52DF75" w14:textId="77777777" w:rsidR="00ED3697" w:rsidRPr="00ED3697" w:rsidRDefault="00ED3697" w:rsidP="00ED3697">
            <w:pPr>
              <w:spacing w:after="0" w:line="252" w:lineRule="atLeast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 xml:space="preserve">Udviklingen i indekset har </w:t>
            </w: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væ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- </w:t>
            </w:r>
          </w:p>
          <w:p w14:paraId="2653602D" w14:textId="77777777" w:rsidR="00ED3697" w:rsidRPr="00ED3697" w:rsidRDefault="00ED3697" w:rsidP="00ED3697">
            <w:pPr>
              <w:spacing w:after="0" w:line="252" w:lineRule="atLeast"/>
              <w:ind w:right="45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ret positiv, og der tillægges 2% til satsen for omkostningsgodtgørelse, men stigningen slår ikke igennem før SKAT hæver skatteloftet. </w:t>
            </w: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Sammenlagt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</w:t>
            </w: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skal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der nu </w:t>
            </w: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reguleres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</w:t>
            </w: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for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</w:t>
            </w: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to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 xml:space="preserve"> </w:t>
            </w: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år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 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9D5B90" w14:textId="77777777" w:rsidR="00ED3697" w:rsidRPr="00ED3697" w:rsidRDefault="00ED3697" w:rsidP="00ED3697">
            <w:pPr>
              <w:spacing w:after="0" w:line="252" w:lineRule="atLeast"/>
              <w:ind w:right="45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Udviklingen i indekset har været negativ, men der reguleres ikke negativt i satsen for omkostningsgodtgørelse, men satsen for omkostningsgodtgørelse forbliver den samme, som i år 2. Stigningen for perioden på de tre år slår først igennem, når SKAT hæver  </w:t>
            </w:r>
          </w:p>
          <w:p w14:paraId="1ACE8C84" w14:textId="77777777" w:rsidR="00ED3697" w:rsidRPr="00ED3697" w:rsidRDefault="00ED3697" w:rsidP="00ED3697">
            <w:pPr>
              <w:spacing w:after="0" w:line="252" w:lineRule="atLeas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skatteloftet</w:t>
            </w:r>
            <w:proofErr w:type="spellEnd"/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val="de-DE" w:eastAsia="da-DK"/>
                <w14:ligatures w14:val="none"/>
              </w:rPr>
              <w:t>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F15855" w14:textId="77777777" w:rsidR="00ED3697" w:rsidRPr="00ED3697" w:rsidRDefault="00ED3697" w:rsidP="00ED3697">
            <w:pPr>
              <w:spacing w:after="0" w:line="252" w:lineRule="atLeast"/>
              <w:ind w:right="45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00"/>
                <w:lang w:eastAsia="da-DK"/>
                <w14:ligatures w14:val="none"/>
              </w:rPr>
              <w:t>Udviklingen i indekset har været positiv, og der tillægges 1% til satsen for omkostningsgodtgørelse, men stigningen slår ikke igennem før SKAT hæver skatteloftet. Sammenlagt skal der nu reguleres for fire år, når SKAT hæver skatteloftet</w:t>
            </w:r>
            <w:r w:rsidRPr="00ED36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  </w:t>
            </w:r>
          </w:p>
        </w:tc>
      </w:tr>
    </w:tbl>
    <w:p w14:paraId="4D3D5EEE" w14:textId="77777777" w:rsidR="00ED3697" w:rsidRPr="00ED3697" w:rsidRDefault="00ED3697" w:rsidP="00ED369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D36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 </w:t>
      </w:r>
    </w:p>
    <w:p w14:paraId="466FAEA5" w14:textId="77777777" w:rsidR="00ED3697" w:rsidRPr="00ED3697" w:rsidRDefault="00ED3697" w:rsidP="00ED3697">
      <w:pPr>
        <w:spacing w:after="15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D3697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 </w:t>
      </w:r>
    </w:p>
    <w:p w14:paraId="458BD625" w14:textId="160361D7" w:rsidR="00ED3697" w:rsidRPr="00ED3697" w:rsidRDefault="00ED3697" w:rsidP="00ED3697">
      <w:pPr>
        <w:spacing w:after="12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</w:p>
    <w:p w14:paraId="20E6F8C3" w14:textId="77777777" w:rsidR="00C223E7" w:rsidRDefault="00C223E7"/>
    <w:sectPr w:rsidR="00C223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97"/>
    <w:rsid w:val="006C4A74"/>
    <w:rsid w:val="00C223E7"/>
    <w:rsid w:val="00E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6BF3"/>
  <w15:chartTrackingRefBased/>
  <w15:docId w15:val="{D87F1195-432A-43CC-8C0D-D024498F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D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ED3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7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4098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2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52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39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43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3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7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88322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763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354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7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699063">
                                                                                              <w:marLeft w:val="30"/>
                                                                                              <w:marRight w:val="30"/>
                                                                                              <w:marTop w:val="3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865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4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993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0413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80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64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5666813">
                                                                                                  <w:marLeft w:val="-60"/>
                                                                                                  <w:marRight w:val="24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busjaelland.dk/nyheder/2023/december/omkostningsgodtgoerelse-for-dommere-udviklere-og-vejledere-i-2024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Vennike</dc:creator>
  <cp:keywords/>
  <dc:description/>
  <cp:lastModifiedBy>Allan Vennike</cp:lastModifiedBy>
  <cp:revision>3</cp:revision>
  <dcterms:created xsi:type="dcterms:W3CDTF">2024-03-21T16:01:00Z</dcterms:created>
  <dcterms:modified xsi:type="dcterms:W3CDTF">2024-03-21T16:04:00Z</dcterms:modified>
</cp:coreProperties>
</file>